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B5B4A" w14:textId="77777777" w:rsidR="00570AA9" w:rsidRPr="008152CE" w:rsidRDefault="00570AA9" w:rsidP="00B44856">
      <w:pPr>
        <w:pStyle w:val="xmsolistparagraph"/>
        <w:spacing w:line="360" w:lineRule="auto"/>
        <w:rPr>
          <w:b/>
          <w:bCs/>
          <w:vertAlign w:val="subscript"/>
        </w:rPr>
      </w:pPr>
    </w:p>
    <w:p w14:paraId="4A1A2ABB" w14:textId="77777777" w:rsidR="00570AA9" w:rsidRPr="00570AA9" w:rsidRDefault="00F47406" w:rsidP="00570AA9">
      <w:pPr>
        <w:pStyle w:val="xmsolistparagraph"/>
        <w:spacing w:line="360" w:lineRule="auto"/>
        <w:jc w:val="center"/>
        <w:rPr>
          <w:b/>
          <w:bCs/>
        </w:rPr>
      </w:pPr>
      <w:r w:rsidRPr="00570AA9">
        <w:rPr>
          <w:b/>
          <w:bCs/>
        </w:rPr>
        <w:t>Policy for requesting NBSR data</w:t>
      </w:r>
      <w:r w:rsidR="0054345F">
        <w:rPr>
          <w:b/>
          <w:bCs/>
        </w:rPr>
        <w:t xml:space="preserve"> (version 1, 10/09/2022)</w:t>
      </w:r>
    </w:p>
    <w:p w14:paraId="68E623B8" w14:textId="77777777" w:rsidR="00B80244" w:rsidRDefault="00F47406" w:rsidP="00B80244">
      <w:pPr>
        <w:pStyle w:val="xmsolistparagraph"/>
        <w:spacing w:line="360" w:lineRule="auto"/>
        <w:jc w:val="both"/>
      </w:pPr>
      <w:bookmarkStart w:id="0" w:name="_Hlk120004820"/>
      <w:r w:rsidRPr="008824FD">
        <w:t xml:space="preserve">The National Bariatric </w:t>
      </w:r>
      <w:bookmarkStart w:id="1" w:name="_GoBack"/>
      <w:r w:rsidRPr="008824FD">
        <w:t xml:space="preserve">Surgery </w:t>
      </w:r>
      <w:bookmarkEnd w:id="1"/>
      <w:r w:rsidRPr="008824FD">
        <w:t>Regist</w:t>
      </w:r>
      <w:r w:rsidR="008152CE">
        <w:t>ry</w:t>
      </w:r>
      <w:r w:rsidRPr="008824FD">
        <w:t xml:space="preserve"> (NBSR) is part of the British Obesity and Metabolic Surgery Society (BOMSS</w:t>
      </w:r>
      <w:r w:rsidR="00294132" w:rsidRPr="008824FD">
        <w:t xml:space="preserve">) </w:t>
      </w:r>
      <w:r>
        <w:t xml:space="preserve">Charitable Incorporated Organisation </w:t>
      </w:r>
      <w:r w:rsidR="00294132" w:rsidRPr="008824FD">
        <w:t>and</w:t>
      </w:r>
      <w:r w:rsidRPr="008824FD">
        <w:t xml:space="preserve"> </w:t>
      </w:r>
      <w:r>
        <w:t>is supported by</w:t>
      </w:r>
      <w:r w:rsidRPr="008824FD">
        <w:t xml:space="preserve"> Dendrite Clinical Systems</w:t>
      </w:r>
      <w:r w:rsidR="008152CE">
        <w:t xml:space="preserve">. It has been publishing consultant-level outcomes in the public domain since 2012-13. </w:t>
      </w:r>
      <w:r w:rsidRPr="008824FD">
        <w:t xml:space="preserve">NBSR is </w:t>
      </w:r>
      <w:r>
        <w:t>probably</w:t>
      </w:r>
      <w:r w:rsidR="008152CE">
        <w:t xml:space="preserve"> the most reliable source of data on </w:t>
      </w:r>
      <w:r>
        <w:t>B</w:t>
      </w:r>
      <w:r w:rsidR="008152CE">
        <w:t xml:space="preserve">ariatric and </w:t>
      </w:r>
      <w:r>
        <w:t>M</w:t>
      </w:r>
      <w:r w:rsidR="008152CE">
        <w:t xml:space="preserve">etabolic </w:t>
      </w:r>
      <w:r>
        <w:t>S</w:t>
      </w:r>
      <w:r w:rsidR="008152CE">
        <w:t xml:space="preserve">urgery </w:t>
      </w:r>
      <w:r>
        <w:t xml:space="preserve">(BMS) </w:t>
      </w:r>
      <w:r w:rsidR="008152CE">
        <w:t>in the United Kingdom</w:t>
      </w:r>
      <w:r>
        <w:t xml:space="preserve"> (UK)</w:t>
      </w:r>
      <w:r w:rsidR="008152CE">
        <w:t xml:space="preserve">. </w:t>
      </w:r>
      <w:r w:rsidRPr="008824FD">
        <w:t xml:space="preserve"> </w:t>
      </w:r>
      <w:r w:rsidR="008152CE">
        <w:t>It is also an</w:t>
      </w:r>
      <w:r w:rsidR="00501BB9">
        <w:t xml:space="preserve"> excellent data source for </w:t>
      </w:r>
      <w:r w:rsidR="00135DC2">
        <w:t>audit</w:t>
      </w:r>
      <w:r>
        <w:t xml:space="preserve">ing </w:t>
      </w:r>
      <w:r>
        <w:t>practices and outcomes of BMS in the UK</w:t>
      </w:r>
      <w:r w:rsidR="00930340">
        <w:t xml:space="preserve">. </w:t>
      </w:r>
      <w:r>
        <w:t xml:space="preserve">This document attempts to provide audit proposers with a clear process for requesting NBSR data. </w:t>
      </w:r>
    </w:p>
    <w:p w14:paraId="5FF5373D" w14:textId="77777777" w:rsidR="007E5BC8" w:rsidRDefault="00F47406" w:rsidP="00B80244">
      <w:pPr>
        <w:pStyle w:val="xmsolistparagraph"/>
        <w:spacing w:line="360" w:lineRule="auto"/>
        <w:jc w:val="both"/>
      </w:pPr>
      <w:bookmarkStart w:id="2" w:name="_Hlk120005145"/>
      <w:bookmarkEnd w:id="0"/>
      <w:r>
        <w:t>Policy for requesting NBSR data</w:t>
      </w:r>
      <w:r w:rsidR="00EA0BFB">
        <w:t xml:space="preserve"> by BOMSS membership</w:t>
      </w:r>
      <w:bookmarkEnd w:id="2"/>
      <w:r>
        <w:t>:</w:t>
      </w:r>
    </w:p>
    <w:p w14:paraId="5D55007E" w14:textId="77777777" w:rsidR="00527EC3" w:rsidRDefault="00F47406" w:rsidP="002C7815">
      <w:pPr>
        <w:pStyle w:val="xmsolistparagraph"/>
        <w:numPr>
          <w:ilvl w:val="0"/>
          <w:numId w:val="1"/>
        </w:numPr>
        <w:spacing w:line="360" w:lineRule="auto"/>
        <w:jc w:val="both"/>
      </w:pPr>
      <w:r>
        <w:t>P</w:t>
      </w:r>
      <w:r w:rsidR="00A60CF7">
        <w:t>rimary audit proposer and co-audit proposer</w:t>
      </w:r>
      <w:r w:rsidR="007822FF">
        <w:t>(</w:t>
      </w:r>
      <w:r w:rsidR="00A60CF7">
        <w:t>s</w:t>
      </w:r>
      <w:r w:rsidR="007822FF">
        <w:t>)</w:t>
      </w:r>
      <w:r w:rsidR="00A60CF7">
        <w:t xml:space="preserve"> (maximum 2)</w:t>
      </w:r>
      <w:r>
        <w:t xml:space="preserve"> to c</w:t>
      </w:r>
      <w:r>
        <w:t xml:space="preserve">omplete </w:t>
      </w:r>
      <w:r w:rsidR="00BA1009">
        <w:t xml:space="preserve">the </w:t>
      </w:r>
      <w:r w:rsidR="00953E05">
        <w:t>“</w:t>
      </w:r>
      <w:r w:rsidR="00BA1009">
        <w:t>NBSR data</w:t>
      </w:r>
      <w:r w:rsidR="00953E05">
        <w:t xml:space="preserve"> audit proposal form”</w:t>
      </w:r>
      <w:r w:rsidR="00A60CF7">
        <w:t xml:space="preserve">. </w:t>
      </w:r>
    </w:p>
    <w:p w14:paraId="2100B9BE" w14:textId="77777777" w:rsidR="009641A3" w:rsidRDefault="00F47406" w:rsidP="002C7815">
      <w:pPr>
        <w:pStyle w:val="xmsolistparagraph"/>
        <w:numPr>
          <w:ilvl w:val="0"/>
          <w:numId w:val="1"/>
        </w:numPr>
        <w:spacing w:line="360" w:lineRule="auto"/>
        <w:jc w:val="both"/>
      </w:pPr>
      <w:r>
        <w:t>A</w:t>
      </w:r>
      <w:r w:rsidR="00A60CF7">
        <w:t xml:space="preserve">udit proposers </w:t>
      </w:r>
      <w:r>
        <w:t xml:space="preserve">to provide credentials </w:t>
      </w:r>
      <w:r w:rsidR="00A60CF7">
        <w:t>in handling large data and publishing scientific papers</w:t>
      </w:r>
      <w:r w:rsidR="000D6D73">
        <w:t>.</w:t>
      </w:r>
    </w:p>
    <w:p w14:paraId="33E26AF1" w14:textId="77777777" w:rsidR="00953E05" w:rsidRDefault="00F47406" w:rsidP="002C7815">
      <w:pPr>
        <w:pStyle w:val="xmsolistparagraph"/>
        <w:numPr>
          <w:ilvl w:val="0"/>
          <w:numId w:val="1"/>
        </w:numPr>
        <w:spacing w:line="360" w:lineRule="auto"/>
        <w:jc w:val="both"/>
      </w:pPr>
      <w:r>
        <w:t>Audit proposers</w:t>
      </w:r>
      <w:r w:rsidR="00130187">
        <w:t xml:space="preserve"> agree </w:t>
      </w:r>
      <w:r>
        <w:t>to pay NBSR charges for data sharing (Approximately £500 -1000)</w:t>
      </w:r>
      <w:r w:rsidR="009C3A24">
        <w:t xml:space="preserve">. These </w:t>
      </w:r>
      <w:r w:rsidR="000271FF">
        <w:t xml:space="preserve">funds </w:t>
      </w:r>
      <w:r w:rsidR="009C3A24">
        <w:t>will need to be transferred to the protected NBSR account held by BOMSS CIO</w:t>
      </w:r>
      <w:r w:rsidR="000271FF">
        <w:t xml:space="preserve"> before the data can be shared</w:t>
      </w:r>
      <w:r w:rsidR="009C3A24">
        <w:t xml:space="preserve">. </w:t>
      </w:r>
    </w:p>
    <w:p w14:paraId="102D6CE1" w14:textId="77777777" w:rsidR="00652F1B" w:rsidRDefault="00F47406" w:rsidP="00652F1B">
      <w:pPr>
        <w:pStyle w:val="xmsolistparagraph"/>
        <w:numPr>
          <w:ilvl w:val="0"/>
          <w:numId w:val="1"/>
        </w:numPr>
        <w:spacing w:line="360" w:lineRule="auto"/>
        <w:jc w:val="both"/>
      </w:pPr>
      <w:r>
        <w:t>Audit proposer</w:t>
      </w:r>
      <w:r w:rsidR="008D2427">
        <w:t xml:space="preserve">s </w:t>
      </w:r>
      <w:r w:rsidR="009D73D3">
        <w:t>to agree to the following:</w:t>
      </w:r>
    </w:p>
    <w:p w14:paraId="39B6B899" w14:textId="77777777" w:rsidR="0054345F" w:rsidRDefault="00F47406" w:rsidP="0054345F">
      <w:pPr>
        <w:pStyle w:val="xmsolistparagraph"/>
        <w:numPr>
          <w:ilvl w:val="1"/>
          <w:numId w:val="1"/>
        </w:numPr>
        <w:spacing w:before="0" w:beforeAutospacing="0" w:after="0" w:afterAutospacing="0" w:line="360" w:lineRule="auto"/>
        <w:ind w:left="1080"/>
        <w:jc w:val="both"/>
      </w:pPr>
      <w:r>
        <w:t>Some</w:t>
      </w:r>
      <w:r w:rsidR="00B44856" w:rsidRPr="00B44856">
        <w:t xml:space="preserve"> members of the NBSR </w:t>
      </w:r>
      <w:r w:rsidR="00B44856">
        <w:t>committee</w:t>
      </w:r>
      <w:r w:rsidR="00B44856" w:rsidRPr="00B44856">
        <w:t xml:space="preserve"> </w:t>
      </w:r>
      <w:r>
        <w:t xml:space="preserve">will be assigned </w:t>
      </w:r>
      <w:r w:rsidR="00B44856" w:rsidRPr="00B44856">
        <w:t xml:space="preserve">to supervise individual audits as required </w:t>
      </w:r>
      <w:r w:rsidR="00B44856">
        <w:t xml:space="preserve">to </w:t>
      </w:r>
      <w:r w:rsidR="00B44856" w:rsidRPr="00B44856">
        <w:t>support delivery, and these NBSR c</w:t>
      </w:r>
      <w:r w:rsidR="00B44856">
        <w:t>ommi</w:t>
      </w:r>
      <w:r w:rsidR="00B44856" w:rsidRPr="00B44856">
        <w:t>ttee members will then be named authors on any final publication</w:t>
      </w:r>
      <w:r w:rsidR="000C5C3B" w:rsidRPr="00C73D45">
        <w:t>. All other committee members will provide input as needed and will be collaborative authors</w:t>
      </w:r>
      <w:r w:rsidR="00652F1B">
        <w:t xml:space="preserve"> </w:t>
      </w:r>
      <w:r w:rsidR="001C7074">
        <w:t xml:space="preserve">on the paper as </w:t>
      </w:r>
      <w:r w:rsidR="00652F1B">
        <w:t>“NBSR Collaborators” (</w:t>
      </w:r>
      <w:r>
        <w:t xml:space="preserve">please </w:t>
      </w:r>
      <w:r w:rsidR="00652F1B">
        <w:t xml:space="preserve">also see point </w:t>
      </w:r>
      <w:r w:rsidR="00B44856">
        <w:t>4</w:t>
      </w:r>
      <w:r w:rsidR="00652F1B">
        <w:t>b)</w:t>
      </w:r>
    </w:p>
    <w:p w14:paraId="31D49CA6" w14:textId="77777777" w:rsidR="0054345F" w:rsidRDefault="00F47406" w:rsidP="0054345F">
      <w:pPr>
        <w:pStyle w:val="xmsolistparagraph"/>
        <w:numPr>
          <w:ilvl w:val="1"/>
          <w:numId w:val="1"/>
        </w:numPr>
        <w:spacing w:before="0" w:beforeAutospacing="0" w:after="0" w:afterAutospacing="0" w:line="360" w:lineRule="auto"/>
        <w:ind w:left="1080"/>
        <w:jc w:val="both"/>
      </w:pPr>
      <w:r>
        <w:t>A</w:t>
      </w:r>
      <w:r w:rsidR="00A60CF7">
        <w:t xml:space="preserve">ll NBSR </w:t>
      </w:r>
      <w:r w:rsidR="00652F1B">
        <w:t xml:space="preserve">data contributors </w:t>
      </w:r>
      <w:r w:rsidR="00A60CF7">
        <w:t>(all the surgeons who have contributed data to NBSR</w:t>
      </w:r>
      <w:r w:rsidR="00E7292A">
        <w:t xml:space="preserve"> and are active data contributors at the time of the study</w:t>
      </w:r>
      <w:r w:rsidR="00A60CF7">
        <w:t>)</w:t>
      </w:r>
      <w:r w:rsidR="00652F1B">
        <w:t xml:space="preserve"> will also be listed as collaborative authors of the publication under the </w:t>
      </w:r>
      <w:r w:rsidR="001C7074">
        <w:t xml:space="preserve">same </w:t>
      </w:r>
      <w:r w:rsidR="00652F1B">
        <w:t>group name “NBSR Collaborators”</w:t>
      </w:r>
      <w:r w:rsidR="00A60CF7">
        <w:t xml:space="preserve">. This list </w:t>
      </w:r>
      <w:r w:rsidR="00652F1B">
        <w:t xml:space="preserve">of all committee members and </w:t>
      </w:r>
      <w:r w:rsidR="00E7292A">
        <w:t xml:space="preserve">active NBSR </w:t>
      </w:r>
      <w:r w:rsidR="00652F1B">
        <w:t>data contributors</w:t>
      </w:r>
      <w:r w:rsidR="00E7292A">
        <w:t xml:space="preserve"> </w:t>
      </w:r>
      <w:r w:rsidR="00A60CF7">
        <w:t>will be shared with auditors for authorship purposes</w:t>
      </w:r>
      <w:r w:rsidR="00652F1B">
        <w:t xml:space="preserve"> by the NBSR audit subcommittee lead. </w:t>
      </w:r>
    </w:p>
    <w:p w14:paraId="448A68B1" w14:textId="77777777" w:rsidR="000271FF" w:rsidRDefault="00F47406" w:rsidP="0054345F">
      <w:pPr>
        <w:pStyle w:val="xmsolistparagraph"/>
        <w:numPr>
          <w:ilvl w:val="1"/>
          <w:numId w:val="1"/>
        </w:numPr>
        <w:spacing w:before="0" w:beforeAutospacing="0" w:after="0" w:afterAutospacing="0" w:line="360" w:lineRule="auto"/>
        <w:ind w:left="1080"/>
        <w:jc w:val="both"/>
      </w:pPr>
      <w:r>
        <w:t>Audit proposers agree to take all standard precautions while dealing with NBSR data and the list of collaborators in line</w:t>
      </w:r>
      <w:r>
        <w:t xml:space="preserve"> with the UK Data Protection Act 2018. </w:t>
      </w:r>
    </w:p>
    <w:p w14:paraId="0CDF26B8" w14:textId="77777777" w:rsidR="00953E05" w:rsidRDefault="00F47406" w:rsidP="0054345F">
      <w:pPr>
        <w:pStyle w:val="xmsolistparagraph"/>
        <w:numPr>
          <w:ilvl w:val="1"/>
          <w:numId w:val="1"/>
        </w:numPr>
        <w:spacing w:before="0" w:beforeAutospacing="0" w:after="0" w:afterAutospacing="0" w:line="360" w:lineRule="auto"/>
        <w:ind w:left="1080"/>
        <w:jc w:val="both"/>
      </w:pPr>
      <w:r>
        <w:t xml:space="preserve">The audit subcommittee lead will be the primary point of contact for all </w:t>
      </w:r>
      <w:r w:rsidR="00130187">
        <w:t xml:space="preserve">queries related to </w:t>
      </w:r>
      <w:r>
        <w:t>audit projects. Currently, it</w:t>
      </w:r>
      <w:r w:rsidR="00DE0C83">
        <w:t xml:space="preserve"> i</w:t>
      </w:r>
      <w:r>
        <w:t xml:space="preserve">s </w:t>
      </w:r>
      <w:hyperlink r:id="rId7" w:history="1">
        <w:r w:rsidRPr="00953E05">
          <w:rPr>
            <w:rStyle w:val="Hyperlink"/>
          </w:rPr>
          <w:t xml:space="preserve">Mr. Waleed </w:t>
        </w:r>
        <w:proofErr w:type="spellStart"/>
        <w:r w:rsidRPr="00953E05">
          <w:rPr>
            <w:rStyle w:val="Hyperlink"/>
          </w:rPr>
          <w:t>Al-Khyatt</w:t>
        </w:r>
        <w:proofErr w:type="spellEnd"/>
        <w:r w:rsidRPr="00953E05">
          <w:rPr>
            <w:rStyle w:val="Hyperlink"/>
          </w:rPr>
          <w:t>.</w:t>
        </w:r>
      </w:hyperlink>
      <w:r>
        <w:t xml:space="preserve"> </w:t>
      </w:r>
    </w:p>
    <w:p w14:paraId="67DD2134" w14:textId="77777777" w:rsidR="000271FF" w:rsidRDefault="00F47406" w:rsidP="009A77BF">
      <w:pPr>
        <w:pStyle w:val="xmsolistparagraph"/>
        <w:numPr>
          <w:ilvl w:val="1"/>
          <w:numId w:val="1"/>
        </w:numPr>
        <w:spacing w:before="0" w:beforeAutospacing="0" w:after="0" w:afterAutospacing="0" w:line="360" w:lineRule="auto"/>
        <w:ind w:left="1080"/>
        <w:jc w:val="both"/>
      </w:pPr>
      <w:r>
        <w:lastRenderedPageBreak/>
        <w:t xml:space="preserve">Each project will </w:t>
      </w:r>
      <w:r w:rsidR="00652F1B">
        <w:t>need to be</w:t>
      </w:r>
      <w:r>
        <w:t xml:space="preserve"> approved by </w:t>
      </w:r>
      <w:r w:rsidR="00652F1B">
        <w:t xml:space="preserve">the </w:t>
      </w:r>
      <w:r>
        <w:t>NBSR committee</w:t>
      </w:r>
      <w:r w:rsidR="009A77BF">
        <w:t xml:space="preserve">. It is expected that the first draft ready for submission be ready within 12 months of data being made available to the audit proposers. </w:t>
      </w:r>
      <w:r>
        <w:t xml:space="preserve">All delays should be brought to the attention of the audit subcommittee lead. </w:t>
      </w:r>
    </w:p>
    <w:p w14:paraId="294FC938" w14:textId="77777777" w:rsidR="009A77BF" w:rsidRDefault="00F47406" w:rsidP="009A77BF">
      <w:pPr>
        <w:pStyle w:val="xmsolistparagraph"/>
        <w:numPr>
          <w:ilvl w:val="1"/>
          <w:numId w:val="1"/>
        </w:numPr>
        <w:spacing w:before="0" w:beforeAutospacing="0" w:after="0" w:afterAutospacing="0" w:line="360" w:lineRule="auto"/>
        <w:ind w:left="1080"/>
        <w:jc w:val="both"/>
      </w:pPr>
      <w:r>
        <w:t xml:space="preserve">NBSR committee reserves the right to terminate any project at its sole discretion (Reasons can be noncompletion in the time frame, concerns identified at a later stage, etc.). Funds will not be refunded to audit proposers under these circumstances. </w:t>
      </w:r>
    </w:p>
    <w:p w14:paraId="74E73073" w14:textId="77777777" w:rsidR="00130187" w:rsidRDefault="00F47406" w:rsidP="00130187">
      <w:pPr>
        <w:pStyle w:val="xmsolistparagraph"/>
        <w:numPr>
          <w:ilvl w:val="1"/>
          <w:numId w:val="1"/>
        </w:numPr>
        <w:spacing w:before="0" w:beforeAutospacing="0" w:after="0" w:afterAutospacing="0" w:line="360" w:lineRule="auto"/>
        <w:ind w:left="1080"/>
        <w:jc w:val="both"/>
      </w:pPr>
      <w:r>
        <w:t xml:space="preserve">Audit proposers agree that </w:t>
      </w:r>
      <w:r w:rsidR="000C5C3B" w:rsidRPr="00130187">
        <w:rPr>
          <w:b/>
          <w:bCs/>
        </w:rPr>
        <w:t>NBSR data will only be used for one publication.</w:t>
      </w:r>
      <w:r w:rsidR="000C5C3B" w:rsidRPr="001E00C9">
        <w:t xml:space="preserve"> Further permission will be sought from the NBSR committee for any additional publications</w:t>
      </w:r>
      <w:r w:rsidR="000C5C3B">
        <w:t xml:space="preserve"> from the same dataset</w:t>
      </w:r>
      <w:r w:rsidR="000C5C3B" w:rsidRPr="001E00C9">
        <w:t xml:space="preserve">. All publications will only be submitted by prior approval of the NBSR committee and chair. </w:t>
      </w:r>
    </w:p>
    <w:p w14:paraId="643A9413" w14:textId="77777777" w:rsidR="002C7815" w:rsidRDefault="00F47406" w:rsidP="00130187">
      <w:pPr>
        <w:pStyle w:val="xmsolistparagraph"/>
        <w:numPr>
          <w:ilvl w:val="1"/>
          <w:numId w:val="1"/>
        </w:numPr>
        <w:spacing w:before="0" w:beforeAutospacing="0" w:after="0" w:afterAutospacing="0" w:line="360" w:lineRule="auto"/>
        <w:ind w:left="1080"/>
        <w:jc w:val="both"/>
      </w:pPr>
      <w:r>
        <w:t xml:space="preserve">Each audit proposer </w:t>
      </w:r>
      <w:r w:rsidR="001E5742">
        <w:t>will need to</w:t>
      </w:r>
      <w:r>
        <w:t xml:space="preserve"> sign</w:t>
      </w:r>
      <w:r w:rsidRPr="001E00C9">
        <w:t xml:space="preserve"> </w:t>
      </w:r>
      <w:r w:rsidR="001E5742">
        <w:t xml:space="preserve">a </w:t>
      </w:r>
      <w:r w:rsidRPr="001E00C9">
        <w:t xml:space="preserve">Memorandum of Understanding </w:t>
      </w:r>
      <w:r w:rsidR="001E5742">
        <w:t xml:space="preserve">with NBSR. </w:t>
      </w:r>
    </w:p>
    <w:sectPr w:rsidR="002C7815" w:rsidSect="00CB5E69">
      <w:headerReference w:type="default" r:id="rId8"/>
      <w:footerReference w:type="default" r:id="rId9"/>
      <w:pgSz w:w="11906" w:h="16838"/>
      <w:pgMar w:top="212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BD6C16" w14:textId="77777777" w:rsidR="00F47406" w:rsidRDefault="00F47406">
      <w:r>
        <w:separator/>
      </w:r>
    </w:p>
  </w:endnote>
  <w:endnote w:type="continuationSeparator" w:id="0">
    <w:p w14:paraId="189010EE" w14:textId="77777777" w:rsidR="00F47406" w:rsidRDefault="00F47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78B6C" w14:textId="77777777" w:rsidR="00570AA9" w:rsidRDefault="00F47406">
    <w:pPr>
      <w:pStyle w:val="Footer"/>
    </w:pPr>
    <w:r>
      <w:t>V</w:t>
    </w:r>
    <w:r w:rsidR="003B1058">
      <w:t xml:space="preserve">ersion number </w:t>
    </w:r>
    <w:r w:rsidR="001E00C9">
      <w:t>1, 10/09/2022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4B9A4A" w14:textId="77777777" w:rsidR="00F47406" w:rsidRDefault="00F47406">
      <w:r>
        <w:separator/>
      </w:r>
    </w:p>
  </w:footnote>
  <w:footnote w:type="continuationSeparator" w:id="0">
    <w:p w14:paraId="0943A7FD" w14:textId="77777777" w:rsidR="00F47406" w:rsidRDefault="00F474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68A95" w14:textId="77777777" w:rsidR="00232C50" w:rsidRPr="00232C50" w:rsidRDefault="00F47406" w:rsidP="00232C50">
    <w:pPr>
      <w:pStyle w:val="Header"/>
    </w:pPr>
    <w:r>
      <w:rPr>
        <w:noProof/>
        <w:color w:val="000000"/>
      </w:rPr>
      <w:drawing>
        <wp:inline distT="0" distB="0" distL="0" distR="0" wp14:anchorId="3A46D01C" wp14:editId="25983212">
          <wp:extent cx="1247775" cy="676275"/>
          <wp:effectExtent l="0" t="0" r="9525" b="9525"/>
          <wp:docPr id="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8342" cy="6765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01832">
      <w:tab/>
    </w:r>
    <w:r w:rsidR="00F01832">
      <w:tab/>
    </w:r>
    <w:r w:rsidR="00F01832">
      <w:rPr>
        <w:noProof/>
      </w:rPr>
      <w:drawing>
        <wp:inline distT="0" distB="0" distL="0" distR="0" wp14:anchorId="2E8F4F06" wp14:editId="4AD777D0">
          <wp:extent cx="1323975" cy="687449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52202" cy="702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E724CD"/>
    <w:multiLevelType w:val="hybridMultilevel"/>
    <w:tmpl w:val="62FCBD16"/>
    <w:lvl w:ilvl="0" w:tplc="E2BA9C4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DDF80EC0">
      <w:start w:val="1"/>
      <w:numFmt w:val="decimal"/>
      <w:lvlText w:val="%2."/>
      <w:lvlJc w:val="left"/>
      <w:pPr>
        <w:ind w:left="1440" w:hanging="360"/>
      </w:pPr>
      <w:rPr>
        <w:rFonts w:ascii="Calibri" w:eastAsiaTheme="minorHAnsi" w:hAnsi="Calibri" w:cs="Calibri"/>
      </w:rPr>
    </w:lvl>
    <w:lvl w:ilvl="2" w:tplc="575264BC" w:tentative="1">
      <w:start w:val="1"/>
      <w:numFmt w:val="lowerRoman"/>
      <w:lvlText w:val="%3."/>
      <w:lvlJc w:val="right"/>
      <w:pPr>
        <w:ind w:left="2160" w:hanging="180"/>
      </w:pPr>
    </w:lvl>
    <w:lvl w:ilvl="3" w:tplc="D52EEA18" w:tentative="1">
      <w:start w:val="1"/>
      <w:numFmt w:val="decimal"/>
      <w:lvlText w:val="%4."/>
      <w:lvlJc w:val="left"/>
      <w:pPr>
        <w:ind w:left="2880" w:hanging="360"/>
      </w:pPr>
    </w:lvl>
    <w:lvl w:ilvl="4" w:tplc="40DC8662" w:tentative="1">
      <w:start w:val="1"/>
      <w:numFmt w:val="lowerLetter"/>
      <w:lvlText w:val="%5."/>
      <w:lvlJc w:val="left"/>
      <w:pPr>
        <w:ind w:left="3600" w:hanging="360"/>
      </w:pPr>
    </w:lvl>
    <w:lvl w:ilvl="5" w:tplc="E580EB78" w:tentative="1">
      <w:start w:val="1"/>
      <w:numFmt w:val="lowerRoman"/>
      <w:lvlText w:val="%6."/>
      <w:lvlJc w:val="right"/>
      <w:pPr>
        <w:ind w:left="4320" w:hanging="180"/>
      </w:pPr>
    </w:lvl>
    <w:lvl w:ilvl="6" w:tplc="E7C865AC" w:tentative="1">
      <w:start w:val="1"/>
      <w:numFmt w:val="decimal"/>
      <w:lvlText w:val="%7."/>
      <w:lvlJc w:val="left"/>
      <w:pPr>
        <w:ind w:left="5040" w:hanging="360"/>
      </w:pPr>
    </w:lvl>
    <w:lvl w:ilvl="7" w:tplc="D2D6E0C0" w:tentative="1">
      <w:start w:val="1"/>
      <w:numFmt w:val="lowerLetter"/>
      <w:lvlText w:val="%8."/>
      <w:lvlJc w:val="left"/>
      <w:pPr>
        <w:ind w:left="5760" w:hanging="360"/>
      </w:pPr>
    </w:lvl>
    <w:lvl w:ilvl="8" w:tplc="D22693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320716"/>
    <w:multiLevelType w:val="hybridMultilevel"/>
    <w:tmpl w:val="15129838"/>
    <w:lvl w:ilvl="0" w:tplc="4CD042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5EE66AE">
      <w:start w:val="1"/>
      <w:numFmt w:val="lowerLetter"/>
      <w:lvlText w:val="%2."/>
      <w:lvlJc w:val="left"/>
      <w:pPr>
        <w:ind w:left="1440" w:hanging="360"/>
      </w:pPr>
    </w:lvl>
    <w:lvl w:ilvl="2" w:tplc="ABBE0F32">
      <w:start w:val="1"/>
      <w:numFmt w:val="lowerRoman"/>
      <w:lvlText w:val="%3."/>
      <w:lvlJc w:val="right"/>
      <w:pPr>
        <w:ind w:left="2160" w:hanging="180"/>
      </w:pPr>
    </w:lvl>
    <w:lvl w:ilvl="3" w:tplc="493881F2" w:tentative="1">
      <w:start w:val="1"/>
      <w:numFmt w:val="decimal"/>
      <w:lvlText w:val="%4."/>
      <w:lvlJc w:val="left"/>
      <w:pPr>
        <w:ind w:left="2880" w:hanging="360"/>
      </w:pPr>
    </w:lvl>
    <w:lvl w:ilvl="4" w:tplc="AB1E3D40" w:tentative="1">
      <w:start w:val="1"/>
      <w:numFmt w:val="lowerLetter"/>
      <w:lvlText w:val="%5."/>
      <w:lvlJc w:val="left"/>
      <w:pPr>
        <w:ind w:left="3600" w:hanging="360"/>
      </w:pPr>
    </w:lvl>
    <w:lvl w:ilvl="5" w:tplc="1F0ED27E" w:tentative="1">
      <w:start w:val="1"/>
      <w:numFmt w:val="lowerRoman"/>
      <w:lvlText w:val="%6."/>
      <w:lvlJc w:val="right"/>
      <w:pPr>
        <w:ind w:left="4320" w:hanging="180"/>
      </w:pPr>
    </w:lvl>
    <w:lvl w:ilvl="6" w:tplc="B6B029FC" w:tentative="1">
      <w:start w:val="1"/>
      <w:numFmt w:val="decimal"/>
      <w:lvlText w:val="%7."/>
      <w:lvlJc w:val="left"/>
      <w:pPr>
        <w:ind w:left="5040" w:hanging="360"/>
      </w:pPr>
    </w:lvl>
    <w:lvl w:ilvl="7" w:tplc="12C68608" w:tentative="1">
      <w:start w:val="1"/>
      <w:numFmt w:val="lowerLetter"/>
      <w:lvlText w:val="%8."/>
      <w:lvlJc w:val="left"/>
      <w:pPr>
        <w:ind w:left="5760" w:hanging="360"/>
      </w:pPr>
    </w:lvl>
    <w:lvl w:ilvl="8" w:tplc="687E131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CF7"/>
    <w:rsid w:val="000271FF"/>
    <w:rsid w:val="00044322"/>
    <w:rsid w:val="00060643"/>
    <w:rsid w:val="00083BF3"/>
    <w:rsid w:val="00083CA4"/>
    <w:rsid w:val="000C5C3B"/>
    <w:rsid w:val="000D6D73"/>
    <w:rsid w:val="000F45C0"/>
    <w:rsid w:val="00130187"/>
    <w:rsid w:val="00135DC2"/>
    <w:rsid w:val="001638E4"/>
    <w:rsid w:val="001857FA"/>
    <w:rsid w:val="001B1880"/>
    <w:rsid w:val="001C0A24"/>
    <w:rsid w:val="001C7074"/>
    <w:rsid w:val="001E00C9"/>
    <w:rsid w:val="001E5742"/>
    <w:rsid w:val="002127A6"/>
    <w:rsid w:val="00232C50"/>
    <w:rsid w:val="00234BE5"/>
    <w:rsid w:val="00235103"/>
    <w:rsid w:val="00261E23"/>
    <w:rsid w:val="00273E9D"/>
    <w:rsid w:val="0027714A"/>
    <w:rsid w:val="00294132"/>
    <w:rsid w:val="002C7815"/>
    <w:rsid w:val="002E4D9F"/>
    <w:rsid w:val="002E79D8"/>
    <w:rsid w:val="003008C5"/>
    <w:rsid w:val="00322D14"/>
    <w:rsid w:val="003246D1"/>
    <w:rsid w:val="003A3BFB"/>
    <w:rsid w:val="003A65BA"/>
    <w:rsid w:val="003B1058"/>
    <w:rsid w:val="00405C7D"/>
    <w:rsid w:val="00437229"/>
    <w:rsid w:val="00501BB9"/>
    <w:rsid w:val="00506414"/>
    <w:rsid w:val="00520DAA"/>
    <w:rsid w:val="00527EC3"/>
    <w:rsid w:val="00536150"/>
    <w:rsid w:val="0054345F"/>
    <w:rsid w:val="0054492B"/>
    <w:rsid w:val="005528BB"/>
    <w:rsid w:val="00570AA9"/>
    <w:rsid w:val="0059352F"/>
    <w:rsid w:val="005C3323"/>
    <w:rsid w:val="005D4018"/>
    <w:rsid w:val="005D559A"/>
    <w:rsid w:val="005E680F"/>
    <w:rsid w:val="0060731B"/>
    <w:rsid w:val="00652F1B"/>
    <w:rsid w:val="006728E0"/>
    <w:rsid w:val="006A3292"/>
    <w:rsid w:val="006B309A"/>
    <w:rsid w:val="006E01C5"/>
    <w:rsid w:val="006E32A7"/>
    <w:rsid w:val="006F4A10"/>
    <w:rsid w:val="00735CE6"/>
    <w:rsid w:val="007370EF"/>
    <w:rsid w:val="007425A9"/>
    <w:rsid w:val="00754B3D"/>
    <w:rsid w:val="007822FF"/>
    <w:rsid w:val="00794F3D"/>
    <w:rsid w:val="007D4074"/>
    <w:rsid w:val="007E0CB1"/>
    <w:rsid w:val="007E5BC8"/>
    <w:rsid w:val="0080458A"/>
    <w:rsid w:val="008114FA"/>
    <w:rsid w:val="00813037"/>
    <w:rsid w:val="008152CE"/>
    <w:rsid w:val="00817EBB"/>
    <w:rsid w:val="0082459D"/>
    <w:rsid w:val="008739B8"/>
    <w:rsid w:val="008824FD"/>
    <w:rsid w:val="008860BA"/>
    <w:rsid w:val="00890DCE"/>
    <w:rsid w:val="008D21BE"/>
    <w:rsid w:val="008D2427"/>
    <w:rsid w:val="008D680E"/>
    <w:rsid w:val="00913B3B"/>
    <w:rsid w:val="00930340"/>
    <w:rsid w:val="00951EC2"/>
    <w:rsid w:val="00953E05"/>
    <w:rsid w:val="009601D4"/>
    <w:rsid w:val="009641A3"/>
    <w:rsid w:val="00987A5C"/>
    <w:rsid w:val="009A3445"/>
    <w:rsid w:val="009A77BF"/>
    <w:rsid w:val="009C3A24"/>
    <w:rsid w:val="009D73D3"/>
    <w:rsid w:val="009F1DA3"/>
    <w:rsid w:val="00A10E74"/>
    <w:rsid w:val="00A2316F"/>
    <w:rsid w:val="00A32E22"/>
    <w:rsid w:val="00A60CF7"/>
    <w:rsid w:val="00AA1DB9"/>
    <w:rsid w:val="00AD49D1"/>
    <w:rsid w:val="00AD614C"/>
    <w:rsid w:val="00AD72BF"/>
    <w:rsid w:val="00B067B0"/>
    <w:rsid w:val="00B104FD"/>
    <w:rsid w:val="00B44856"/>
    <w:rsid w:val="00B52899"/>
    <w:rsid w:val="00B668AF"/>
    <w:rsid w:val="00B80244"/>
    <w:rsid w:val="00B91C83"/>
    <w:rsid w:val="00BA1009"/>
    <w:rsid w:val="00BB1AF5"/>
    <w:rsid w:val="00BC2982"/>
    <w:rsid w:val="00BD5B4B"/>
    <w:rsid w:val="00C14869"/>
    <w:rsid w:val="00C21FBD"/>
    <w:rsid w:val="00C4614F"/>
    <w:rsid w:val="00C5544F"/>
    <w:rsid w:val="00C73D45"/>
    <w:rsid w:val="00C81483"/>
    <w:rsid w:val="00CB5E69"/>
    <w:rsid w:val="00CC05ED"/>
    <w:rsid w:val="00CC4D0D"/>
    <w:rsid w:val="00CE72DC"/>
    <w:rsid w:val="00D013EB"/>
    <w:rsid w:val="00D106D8"/>
    <w:rsid w:val="00D31AE3"/>
    <w:rsid w:val="00D33236"/>
    <w:rsid w:val="00D36333"/>
    <w:rsid w:val="00D9097E"/>
    <w:rsid w:val="00DA7CF6"/>
    <w:rsid w:val="00DE0C83"/>
    <w:rsid w:val="00E330DA"/>
    <w:rsid w:val="00E3512E"/>
    <w:rsid w:val="00E7292A"/>
    <w:rsid w:val="00E97A78"/>
    <w:rsid w:val="00EA0BFB"/>
    <w:rsid w:val="00EA3FBD"/>
    <w:rsid w:val="00EB6C0A"/>
    <w:rsid w:val="00EC67C8"/>
    <w:rsid w:val="00F01832"/>
    <w:rsid w:val="00F47406"/>
    <w:rsid w:val="00F53D0A"/>
    <w:rsid w:val="00F7638C"/>
    <w:rsid w:val="00F80383"/>
    <w:rsid w:val="00FB2143"/>
    <w:rsid w:val="00FB7477"/>
    <w:rsid w:val="00FD7A85"/>
    <w:rsid w:val="00FE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E05CE"/>
  <w15:chartTrackingRefBased/>
  <w15:docId w15:val="{1439C714-A8A2-47DC-825F-69CE35BD6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CF7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listparagraph">
    <w:name w:val="x_msolistparagraph"/>
    <w:basedOn w:val="Normal"/>
    <w:rsid w:val="00A60CF7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8045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2C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2C50"/>
    <w:rPr>
      <w:rFonts w:ascii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32C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C50"/>
    <w:rPr>
      <w:rFonts w:ascii="Calibri" w:hAnsi="Calibri" w:cs="Calibri"/>
      <w:lang w:eastAsia="en-GB"/>
    </w:rPr>
  </w:style>
  <w:style w:type="character" w:styleId="Hyperlink">
    <w:name w:val="Hyperlink"/>
    <w:basedOn w:val="DefaultParagraphFont"/>
    <w:uiPriority w:val="99"/>
    <w:unhideWhenUsed/>
    <w:rsid w:val="00953E0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53E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aleed.al-khyatt@nh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UHDB</Company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AL-KHYATT, Waleed (UNIVERSITY HOSPITALS OF DERBY AND BURTON NHS FOUNDATION TRUST)</dc:creator>
  <cp:lastModifiedBy>Kerri Smith</cp:lastModifiedBy>
  <cp:revision>3</cp:revision>
  <dcterms:created xsi:type="dcterms:W3CDTF">2022-11-22T19:10:00Z</dcterms:created>
  <dcterms:modified xsi:type="dcterms:W3CDTF">2022-12-06T11:22:00Z</dcterms:modified>
</cp:coreProperties>
</file>